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910" w:rsidRPr="00102910" w:rsidRDefault="00102910" w:rsidP="0010291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proofErr w:type="gramStart"/>
      <w:r w:rsidRPr="00102910">
        <w:rPr>
          <w:rFonts w:ascii="Verdana" w:eastAsia="Times New Roman" w:hAnsi="Verdana" w:cs="Times New Roman"/>
          <w:b/>
          <w:bCs/>
          <w:noProof w:val="0"/>
          <w:color w:val="303030"/>
          <w:sz w:val="18"/>
          <w:szCs w:val="18"/>
          <w:shd w:val="clear" w:color="auto" w:fill="FFFFFF"/>
          <w:lang w:val="en-US"/>
        </w:rPr>
        <w:t>verbs</w:t>
      </w:r>
      <w:proofErr w:type="gramEnd"/>
      <w:r w:rsidRPr="00102910">
        <w:rPr>
          <w:rFonts w:ascii="Verdana" w:eastAsia="Times New Roman" w:hAnsi="Verdana" w:cs="Times New Roman"/>
          <w:b/>
          <w:bCs/>
          <w:noProof w:val="0"/>
          <w:color w:val="303030"/>
          <w:sz w:val="18"/>
          <w:szCs w:val="18"/>
          <w:shd w:val="clear" w:color="auto" w:fill="FFFFFF"/>
          <w:lang w:val="en-US"/>
        </w:rPr>
        <w:t xml:space="preserve"> followed by 'à' before an infinitive</w:t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lang w:val="en-US"/>
        </w:rPr>
        <w:t> </w:t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szCs w:val="18"/>
          <w:lang w:val="en-US"/>
        </w:rPr>
        <w:br/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szCs w:val="18"/>
          <w:shd w:val="clear" w:color="auto" w:fill="FFFFFF"/>
          <w:lang w:val="en-US"/>
        </w:rPr>
        <w:t>When the following verbs are followed by an infinitive, the preposition</w:t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lang w:val="en-US"/>
        </w:rPr>
        <w:t> </w:t>
      </w:r>
      <w:r w:rsidRPr="00102910">
        <w:rPr>
          <w:rFonts w:ascii="Arial" w:eastAsia="Times New Roman" w:hAnsi="Arial" w:cs="Arial"/>
          <w:b/>
          <w:bCs/>
          <w:noProof w:val="0"/>
          <w:color w:val="0000AA"/>
          <w:sz w:val="18"/>
          <w:lang w:val="en-US"/>
        </w:rPr>
        <w:t>à</w:t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lang w:val="en-US"/>
        </w:rPr>
        <w:t> </w:t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szCs w:val="18"/>
          <w:shd w:val="clear" w:color="auto" w:fill="FFFFFF"/>
          <w:lang w:val="en-US"/>
        </w:rPr>
        <w:t>is required:</w:t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lang w:val="en-US"/>
        </w:rPr>
        <w:t> </w:t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szCs w:val="18"/>
          <w:lang w:val="en-U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drawing>
          <wp:inline distT="0" distB="0" distL="0" distR="0">
            <wp:extent cx="10795" cy="42545"/>
            <wp:effectExtent l="0" t="0" r="0" b="0"/>
            <wp:docPr id="8" name="Picture 1" descr="http://www.laits.utexas.edu/tex/images/gr/trans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its.utexas.edu/tex/images/gr/transdot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4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szCs w:val="18"/>
          <w:lang w:val="en-US"/>
        </w:rPr>
        <w:br/>
      </w:r>
    </w:p>
    <w:tbl>
      <w:tblPr>
        <w:tblW w:w="42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5"/>
        <w:gridCol w:w="7508"/>
      </w:tblGrid>
      <w:tr w:rsidR="00102910" w:rsidRPr="00102910" w:rsidTr="00102910">
        <w:trPr>
          <w:tblCellSpacing w:w="15" w:type="dxa"/>
          <w:jc w:val="center"/>
        </w:trPr>
        <w:tc>
          <w:tcPr>
            <w:tcW w:w="480" w:type="dxa"/>
            <w:hideMark/>
          </w:tcPr>
          <w:p w:rsidR="00102910" w:rsidRPr="00102910" w:rsidRDefault="00102910" w:rsidP="00102910">
            <w:pPr>
              <w:spacing w:after="0" w:line="251" w:lineRule="atLeast"/>
              <w:jc w:val="center"/>
              <w:rPr>
                <w:rFonts w:ascii="Verdana" w:eastAsia="Times New Roman" w:hAnsi="Verdana" w:cs="Times New Roman"/>
                <w:noProof w:val="0"/>
                <w:color w:val="303030"/>
                <w:sz w:val="18"/>
                <w:szCs w:val="18"/>
                <w:lang w:val="en-US"/>
              </w:rPr>
            </w:pPr>
            <w:r>
              <w:rPr>
                <w:rFonts w:ascii="Verdana" w:eastAsia="Times New Roman" w:hAnsi="Verdana" w:cs="Times New Roman"/>
                <w:color w:val="0000AA"/>
                <w:sz w:val="18"/>
                <w:szCs w:val="18"/>
                <w:lang w:val="en-US"/>
              </w:rPr>
              <w:drawing>
                <wp:inline distT="0" distB="0" distL="0" distR="0">
                  <wp:extent cx="191135" cy="180975"/>
                  <wp:effectExtent l="19050" t="0" r="0" b="0"/>
                  <wp:docPr id="7" name="Picture 2" descr="audio">
                    <a:hlinkClick xmlns:a="http://schemas.openxmlformats.org/drawingml/2006/main" r:id="rId5" tooltip="&quot;audio for vinf1, ex.6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udio">
                            <a:hlinkClick r:id="rId5" tooltip="&quot;audio for vinf1, ex.6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555"/>
              <w:gridCol w:w="323"/>
              <w:gridCol w:w="3555"/>
            </w:tblGrid>
            <w:tr w:rsidR="00102910" w:rsidRPr="00102910" w:rsidTr="00B21E39">
              <w:trPr>
                <w:tblCellSpacing w:w="15" w:type="dxa"/>
              </w:trPr>
              <w:tc>
                <w:tcPr>
                  <w:tcW w:w="2361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aider à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help to</w:t>
                  </w:r>
                </w:p>
              </w:tc>
              <w:tc>
                <w:tcPr>
                  <w:tcW w:w="197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361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proofErr w:type="spellStart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s'habituer</w:t>
                  </w:r>
                  <w:proofErr w:type="spellEnd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 à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get used to</w:t>
                  </w:r>
                </w:p>
              </w:tc>
            </w:tr>
            <w:tr w:rsidR="00102910" w:rsidRPr="00102910">
              <w:trPr>
                <w:tblCellSpacing w:w="15" w:type="dxa"/>
              </w:trPr>
              <w:tc>
                <w:tcPr>
                  <w:tcW w:w="2400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proofErr w:type="spellStart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s'amuser</w:t>
                  </w:r>
                  <w:proofErr w:type="spellEnd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 à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have fun at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400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proofErr w:type="spellStart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hésiter</w:t>
                  </w:r>
                  <w:proofErr w:type="spellEnd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 à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hesitate to</w:t>
                  </w:r>
                </w:p>
              </w:tc>
            </w:tr>
            <w:tr w:rsidR="00102910" w:rsidRPr="00102910">
              <w:trPr>
                <w:tblCellSpacing w:w="15" w:type="dxa"/>
              </w:trPr>
              <w:tc>
                <w:tcPr>
                  <w:tcW w:w="2400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proofErr w:type="spellStart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apprendre</w:t>
                  </w:r>
                  <w:proofErr w:type="spellEnd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 à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learn to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400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inviter à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invite to</w:t>
                  </w:r>
                </w:p>
              </w:tc>
            </w:tr>
            <w:tr w:rsidR="00102910" w:rsidRPr="00102910">
              <w:trPr>
                <w:tblCellSpacing w:w="15" w:type="dxa"/>
              </w:trPr>
              <w:tc>
                <w:tcPr>
                  <w:tcW w:w="2400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arriver à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succeed in, to manage to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400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se </w:t>
                  </w:r>
                  <w:proofErr w:type="spellStart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mettre</w:t>
                  </w:r>
                  <w:proofErr w:type="spellEnd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 à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start to</w:t>
                  </w:r>
                </w:p>
              </w:tc>
            </w:tr>
            <w:tr w:rsidR="00102910" w:rsidRPr="00102910">
              <w:trPr>
                <w:tblCellSpacing w:w="15" w:type="dxa"/>
              </w:trPr>
              <w:tc>
                <w:tcPr>
                  <w:tcW w:w="2400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00" w:type="pct"/>
                  <w:vAlign w:val="center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400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se </w:t>
                  </w:r>
                  <w:proofErr w:type="spellStart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préparer</w:t>
                  </w:r>
                  <w:proofErr w:type="spellEnd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 à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prepare to</w:t>
                  </w:r>
                </w:p>
              </w:tc>
            </w:tr>
            <w:tr w:rsidR="00102910" w:rsidRPr="00102910">
              <w:trPr>
                <w:tblCellSpacing w:w="15" w:type="dxa"/>
              </w:trPr>
              <w:tc>
                <w:tcPr>
                  <w:tcW w:w="2400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00" w:type="pct"/>
                  <w:vAlign w:val="center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400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102910" w:rsidRPr="00102910">
              <w:trPr>
                <w:tblCellSpacing w:w="15" w:type="dxa"/>
              </w:trPr>
              <w:tc>
                <w:tcPr>
                  <w:tcW w:w="2400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commencer à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start to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400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proofErr w:type="spellStart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réussir</w:t>
                  </w:r>
                  <w:proofErr w:type="spellEnd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 à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succeed at</w:t>
                  </w:r>
                </w:p>
              </w:tc>
            </w:tr>
            <w:tr w:rsidR="00102910" w:rsidRPr="00102910">
              <w:trPr>
                <w:tblCellSpacing w:w="15" w:type="dxa"/>
              </w:trPr>
              <w:tc>
                <w:tcPr>
                  <w:tcW w:w="2400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00" w:type="pct"/>
                  <w:vAlign w:val="center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400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B21E39" w:rsidRPr="00102910">
              <w:trPr>
                <w:gridAfter w:val="1"/>
                <w:wAfter w:w="3510" w:type="dxa"/>
                <w:tblCellSpacing w:w="15" w:type="dxa"/>
              </w:trPr>
              <w:tc>
                <w:tcPr>
                  <w:tcW w:w="2400" w:type="pct"/>
                  <w:hideMark/>
                </w:tcPr>
                <w:p w:rsidR="00B21E39" w:rsidRPr="00102910" w:rsidRDefault="00B21E39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encourager à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encourage to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B21E39" w:rsidRPr="00102910" w:rsidRDefault="00B21E39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</w:tbl>
          <w:p w:rsidR="00102910" w:rsidRPr="00102910" w:rsidRDefault="00102910" w:rsidP="00102910">
            <w:pPr>
              <w:spacing w:after="0" w:line="251" w:lineRule="atLeast"/>
              <w:rPr>
                <w:rFonts w:ascii="Verdana" w:eastAsia="Times New Roman" w:hAnsi="Verdana" w:cs="Times New Roman"/>
                <w:noProof w:val="0"/>
                <w:color w:val="303030"/>
                <w:sz w:val="18"/>
                <w:szCs w:val="18"/>
                <w:lang w:val="en-US"/>
              </w:rPr>
            </w:pPr>
          </w:p>
        </w:tc>
      </w:tr>
    </w:tbl>
    <w:p w:rsidR="00102910" w:rsidRPr="00102910" w:rsidRDefault="00102910" w:rsidP="00102910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r w:rsidRPr="00102910">
        <w:rPr>
          <w:rFonts w:ascii="Verdana" w:eastAsia="Times New Roman" w:hAnsi="Verdana" w:cs="Times New Roman"/>
          <w:noProof w:val="0"/>
          <w:color w:val="303030"/>
          <w:sz w:val="18"/>
          <w:szCs w:val="18"/>
          <w:lang w:val="en-U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drawing>
          <wp:inline distT="0" distB="0" distL="0" distR="0">
            <wp:extent cx="10795" cy="95885"/>
            <wp:effectExtent l="0" t="0" r="0" b="0"/>
            <wp:docPr id="6" name="Picture 3" descr="http://www.laits.utexas.edu/tex/images/gr/trans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aits.utexas.edu/tex/images/gr/transdot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9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szCs w:val="18"/>
          <w:lang w:val="en-US"/>
        </w:rPr>
        <w:br/>
      </w:r>
      <w:proofErr w:type="gramStart"/>
      <w:r w:rsidRPr="00102910">
        <w:rPr>
          <w:rFonts w:ascii="Verdana" w:eastAsia="Times New Roman" w:hAnsi="Verdana" w:cs="Times New Roman"/>
          <w:b/>
          <w:bCs/>
          <w:noProof w:val="0"/>
          <w:color w:val="303030"/>
          <w:sz w:val="18"/>
          <w:szCs w:val="18"/>
          <w:shd w:val="clear" w:color="auto" w:fill="FFFFFF"/>
          <w:lang w:val="en-US"/>
        </w:rPr>
        <w:t>verbs</w:t>
      </w:r>
      <w:proofErr w:type="gramEnd"/>
      <w:r w:rsidRPr="00102910">
        <w:rPr>
          <w:rFonts w:ascii="Verdana" w:eastAsia="Times New Roman" w:hAnsi="Verdana" w:cs="Times New Roman"/>
          <w:b/>
          <w:bCs/>
          <w:noProof w:val="0"/>
          <w:color w:val="303030"/>
          <w:sz w:val="18"/>
          <w:szCs w:val="18"/>
          <w:shd w:val="clear" w:color="auto" w:fill="FFFFFF"/>
          <w:lang w:val="en-US"/>
        </w:rPr>
        <w:t xml:space="preserve"> followed by 'de' before an infinitive:</w:t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lang w:val="en-US"/>
        </w:rPr>
        <w:t> </w:t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szCs w:val="18"/>
          <w:lang w:val="en-US"/>
        </w:rPr>
        <w:br/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szCs w:val="18"/>
          <w:shd w:val="clear" w:color="auto" w:fill="FFFFFF"/>
          <w:lang w:val="en-US"/>
        </w:rPr>
        <w:t>When the following verbs are followed by an infinitive, the preposition</w:t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lang w:val="en-US"/>
        </w:rPr>
        <w:t> </w:t>
      </w:r>
      <w:r w:rsidRPr="00102910">
        <w:rPr>
          <w:rFonts w:ascii="Arial" w:eastAsia="Times New Roman" w:hAnsi="Arial" w:cs="Arial"/>
          <w:b/>
          <w:bCs/>
          <w:noProof w:val="0"/>
          <w:color w:val="0000AA"/>
          <w:sz w:val="18"/>
          <w:lang w:val="en-US"/>
        </w:rPr>
        <w:t>de</w:t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lang w:val="en-US"/>
        </w:rPr>
        <w:t> </w:t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szCs w:val="18"/>
          <w:shd w:val="clear" w:color="auto" w:fill="FFFFFF"/>
          <w:lang w:val="en-US"/>
        </w:rPr>
        <w:t>is required:</w:t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lang w:val="en-US"/>
        </w:rPr>
        <w:t> </w:t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szCs w:val="18"/>
          <w:lang w:val="en-U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drawing>
          <wp:inline distT="0" distB="0" distL="0" distR="0">
            <wp:extent cx="10795" cy="42545"/>
            <wp:effectExtent l="0" t="0" r="0" b="0"/>
            <wp:docPr id="2" name="Picture 4" descr="http://www.laits.utexas.edu/tex/images/gr/trans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laits.utexas.edu/tex/images/gr/transdot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4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2910">
        <w:rPr>
          <w:rFonts w:ascii="Verdana" w:eastAsia="Times New Roman" w:hAnsi="Verdana" w:cs="Times New Roman"/>
          <w:noProof w:val="0"/>
          <w:color w:val="303030"/>
          <w:sz w:val="18"/>
          <w:szCs w:val="18"/>
          <w:lang w:val="en-US"/>
        </w:rPr>
        <w:br/>
      </w:r>
    </w:p>
    <w:tbl>
      <w:tblPr>
        <w:tblW w:w="42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5"/>
        <w:gridCol w:w="7508"/>
      </w:tblGrid>
      <w:tr w:rsidR="00102910" w:rsidRPr="00102910" w:rsidTr="00102910">
        <w:trPr>
          <w:tblCellSpacing w:w="15" w:type="dxa"/>
          <w:jc w:val="center"/>
        </w:trPr>
        <w:tc>
          <w:tcPr>
            <w:tcW w:w="480" w:type="dxa"/>
            <w:hideMark/>
          </w:tcPr>
          <w:p w:rsidR="00102910" w:rsidRPr="00102910" w:rsidRDefault="00102910" w:rsidP="00102910">
            <w:pPr>
              <w:spacing w:after="0" w:line="251" w:lineRule="atLeast"/>
              <w:jc w:val="center"/>
              <w:rPr>
                <w:rFonts w:ascii="Verdana" w:eastAsia="Times New Roman" w:hAnsi="Verdana" w:cs="Times New Roman"/>
                <w:noProof w:val="0"/>
                <w:color w:val="303030"/>
                <w:sz w:val="18"/>
                <w:szCs w:val="18"/>
                <w:lang w:val="en-US"/>
              </w:rPr>
            </w:pPr>
            <w:r>
              <w:rPr>
                <w:rFonts w:ascii="Verdana" w:eastAsia="Times New Roman" w:hAnsi="Verdana" w:cs="Times New Roman"/>
                <w:color w:val="0000AA"/>
                <w:sz w:val="18"/>
                <w:szCs w:val="18"/>
                <w:lang w:val="en-US"/>
              </w:rPr>
              <w:drawing>
                <wp:inline distT="0" distB="0" distL="0" distR="0">
                  <wp:extent cx="191135" cy="180975"/>
                  <wp:effectExtent l="19050" t="0" r="0" b="0"/>
                  <wp:docPr id="5" name="Picture 5" descr="audio">
                    <a:hlinkClick xmlns:a="http://schemas.openxmlformats.org/drawingml/2006/main" r:id="rId5" tooltip="&quot;audio for vinf1, ex.7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udio">
                            <a:hlinkClick r:id="rId5" tooltip="&quot;audio for vinf1, ex.7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555"/>
              <w:gridCol w:w="323"/>
              <w:gridCol w:w="3555"/>
            </w:tblGrid>
            <w:tr w:rsidR="00102910" w:rsidRPr="00102910" w:rsidTr="00B21E39">
              <w:trPr>
                <w:tblCellSpacing w:w="15" w:type="dxa"/>
              </w:trPr>
              <w:tc>
                <w:tcPr>
                  <w:tcW w:w="2361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(s')</w:t>
                  </w:r>
                  <w:proofErr w:type="spellStart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arrêter</w:t>
                  </w:r>
                  <w:proofErr w:type="spellEnd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 de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stop</w:t>
                  </w:r>
                </w:p>
              </w:tc>
              <w:tc>
                <w:tcPr>
                  <w:tcW w:w="197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361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proofErr w:type="spellStart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permettre</w:t>
                  </w:r>
                  <w:proofErr w:type="spellEnd"/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lang w:val="en-US"/>
                    </w:rPr>
                    <w:t> 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 xml:space="preserve">(à </w:t>
                  </w:r>
                  <w:proofErr w:type="spellStart"/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quelqu'un</w:t>
                  </w:r>
                  <w:proofErr w:type="spellEnd"/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)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lang w:val="en-US"/>
                    </w:rPr>
                    <w:t> </w:t>
                  </w:r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de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permit someone to</w:t>
                  </w:r>
                </w:p>
              </w:tc>
            </w:tr>
            <w:tr w:rsidR="00102910" w:rsidRPr="00102910">
              <w:trPr>
                <w:tblCellSpacing w:w="15" w:type="dxa"/>
              </w:trPr>
              <w:tc>
                <w:tcPr>
                  <w:tcW w:w="2400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proofErr w:type="spellStart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conseiller</w:t>
                  </w:r>
                  <w:proofErr w:type="spellEnd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 de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advise to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400" w:type="pct"/>
                  <w:hideMark/>
                </w:tcPr>
                <w:p w:rsidR="00102910" w:rsidRPr="00102910" w:rsidRDefault="00B21E39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Suggérer</w:t>
                  </w:r>
                  <w:proofErr w:type="spellEnd"/>
                  <w:r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 xml:space="preserve"> de=to suggest that</w:t>
                  </w:r>
                </w:p>
              </w:tc>
            </w:tr>
            <w:tr w:rsidR="00B21E39" w:rsidRPr="00102910">
              <w:trPr>
                <w:gridAfter w:val="1"/>
                <w:wAfter w:w="3510" w:type="dxa"/>
                <w:tblCellSpacing w:w="15" w:type="dxa"/>
              </w:trPr>
              <w:tc>
                <w:tcPr>
                  <w:tcW w:w="2400" w:type="pct"/>
                  <w:hideMark/>
                </w:tcPr>
                <w:p w:rsidR="00B21E39" w:rsidRPr="00102910" w:rsidRDefault="00B21E39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00" w:type="pct"/>
                  <w:vAlign w:val="center"/>
                  <w:hideMark/>
                </w:tcPr>
                <w:p w:rsidR="00B21E39" w:rsidRPr="00102910" w:rsidRDefault="00B21E39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102910" w:rsidRPr="00102910" w:rsidTr="00B21E39">
              <w:trPr>
                <w:tblCellSpacing w:w="15" w:type="dxa"/>
              </w:trPr>
              <w:tc>
                <w:tcPr>
                  <w:tcW w:w="2361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proofErr w:type="spellStart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décider</w:t>
                  </w:r>
                  <w:proofErr w:type="spellEnd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 de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decide to</w:t>
                  </w:r>
                </w:p>
              </w:tc>
              <w:tc>
                <w:tcPr>
                  <w:tcW w:w="197" w:type="pct"/>
                  <w:vAlign w:val="center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361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proofErr w:type="spellStart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promettre</w:t>
                  </w:r>
                  <w:proofErr w:type="spellEnd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 de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promise to</w:t>
                  </w:r>
                </w:p>
              </w:tc>
            </w:tr>
            <w:tr w:rsidR="00102910" w:rsidRPr="00102910" w:rsidTr="00B21E39">
              <w:trPr>
                <w:tblCellSpacing w:w="15" w:type="dxa"/>
              </w:trPr>
              <w:tc>
                <w:tcPr>
                  <w:tcW w:w="2361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97" w:type="pct"/>
                  <w:vAlign w:val="center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361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proposer de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propose to</w:t>
                  </w:r>
                </w:p>
              </w:tc>
            </w:tr>
            <w:tr w:rsidR="00102910" w:rsidRPr="00102910" w:rsidTr="00B21E39">
              <w:trPr>
                <w:tblCellSpacing w:w="15" w:type="dxa"/>
              </w:trPr>
              <w:tc>
                <w:tcPr>
                  <w:tcW w:w="2361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essayer de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try to</w:t>
                  </w:r>
                </w:p>
              </w:tc>
              <w:tc>
                <w:tcPr>
                  <w:tcW w:w="197" w:type="pct"/>
                  <w:vAlign w:val="center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361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proofErr w:type="spellStart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refuser</w:t>
                  </w:r>
                  <w:proofErr w:type="spellEnd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 de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refuse to</w:t>
                  </w:r>
                </w:p>
              </w:tc>
            </w:tr>
            <w:tr w:rsidR="00102910" w:rsidRPr="00102910" w:rsidTr="00B21E39">
              <w:trPr>
                <w:tblCellSpacing w:w="15" w:type="dxa"/>
              </w:trPr>
              <w:tc>
                <w:tcPr>
                  <w:tcW w:w="2361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97" w:type="pct"/>
                  <w:vAlign w:val="center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361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proofErr w:type="spellStart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rêver</w:t>
                  </w:r>
                  <w:proofErr w:type="spellEnd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 de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lang w:val="en-US"/>
                    </w:rPr>
                    <w:t> 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to dream of</w:t>
                  </w:r>
                </w:p>
              </w:tc>
            </w:tr>
            <w:tr w:rsidR="00102910" w:rsidRPr="00102910" w:rsidTr="00B21E39">
              <w:trPr>
                <w:tblCellSpacing w:w="15" w:type="dxa"/>
              </w:trPr>
              <w:tc>
                <w:tcPr>
                  <w:tcW w:w="2361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proofErr w:type="spellStart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finir</w:t>
                  </w:r>
                  <w:proofErr w:type="spellEnd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 de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finish</w:t>
                  </w:r>
                </w:p>
              </w:tc>
              <w:tc>
                <w:tcPr>
                  <w:tcW w:w="197" w:type="pct"/>
                  <w:vAlign w:val="center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361" w:type="pct"/>
                  <w:hideMark/>
                </w:tcPr>
                <w:p w:rsidR="00102910" w:rsidRPr="00102910" w:rsidRDefault="00B21E39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Demander de=to ask that</w:t>
                  </w:r>
                </w:p>
              </w:tc>
            </w:tr>
            <w:tr w:rsidR="00102910" w:rsidRPr="00102910" w:rsidTr="00B21E39">
              <w:trPr>
                <w:tblCellSpacing w:w="15" w:type="dxa"/>
              </w:trPr>
              <w:tc>
                <w:tcPr>
                  <w:tcW w:w="2361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197" w:type="pct"/>
                  <w:vAlign w:val="center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361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se souvenir de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remember to</w:t>
                  </w:r>
                </w:p>
              </w:tc>
            </w:tr>
            <w:tr w:rsidR="00102910" w:rsidRPr="00102910" w:rsidTr="00B21E39">
              <w:trPr>
                <w:tblCellSpacing w:w="15" w:type="dxa"/>
              </w:trPr>
              <w:tc>
                <w:tcPr>
                  <w:tcW w:w="2361" w:type="pct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proofErr w:type="spellStart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>oublier</w:t>
                  </w:r>
                  <w:proofErr w:type="spellEnd"/>
                  <w:r w:rsidRPr="00102910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  <w:t xml:space="preserve"> de</w:t>
                  </w: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, to forget to</w:t>
                  </w:r>
                </w:p>
              </w:tc>
              <w:tc>
                <w:tcPr>
                  <w:tcW w:w="197" w:type="pct"/>
                  <w:vAlign w:val="center"/>
                  <w:hideMark/>
                </w:tcPr>
                <w:p w:rsidR="00102910" w:rsidRPr="00102910" w:rsidRDefault="00102910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 w:rsidRPr="00102910"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361" w:type="pct"/>
                  <w:hideMark/>
                </w:tcPr>
                <w:p w:rsidR="00102910" w:rsidRPr="00102910" w:rsidRDefault="00B21E39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 xml:space="preserve">Il </w:t>
                  </w:r>
                  <w:proofErr w:type="spellStart"/>
                  <w:r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est+adjective</w:t>
                  </w:r>
                  <w:proofErr w:type="spellEnd"/>
                  <w:r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 xml:space="preserve"> de (</w:t>
                  </w:r>
                  <w:proofErr w:type="spellStart"/>
                  <w:r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il</w:t>
                  </w:r>
                  <w:proofErr w:type="spellEnd"/>
                  <w:r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est</w:t>
                  </w:r>
                  <w:proofErr w:type="spellEnd"/>
                  <w:r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 xml:space="preserve"> important, </w:t>
                  </w:r>
                  <w:proofErr w:type="spellStart"/>
                  <w:r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>nécessaire</w:t>
                  </w:r>
                  <w:proofErr w:type="spellEnd"/>
                  <w:r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  <w:t xml:space="preserve"> de, etc.)</w:t>
                  </w:r>
                </w:p>
              </w:tc>
            </w:tr>
            <w:tr w:rsidR="00B21E39" w:rsidRPr="00102910" w:rsidTr="00B21E39">
              <w:trPr>
                <w:tblCellSpacing w:w="15" w:type="dxa"/>
              </w:trPr>
              <w:tc>
                <w:tcPr>
                  <w:tcW w:w="2361" w:type="pct"/>
                </w:tcPr>
                <w:p w:rsidR="00B21E39" w:rsidRPr="00102910" w:rsidRDefault="00B21E39" w:rsidP="00102910">
                  <w:pPr>
                    <w:spacing w:after="0" w:line="251" w:lineRule="atLeast"/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AA"/>
                      <w:sz w:val="18"/>
                      <w:lang w:val="en-US"/>
                    </w:rPr>
                  </w:pPr>
                </w:p>
              </w:tc>
              <w:tc>
                <w:tcPr>
                  <w:tcW w:w="197" w:type="pct"/>
                  <w:vAlign w:val="center"/>
                </w:tcPr>
                <w:p w:rsidR="00B21E39" w:rsidRPr="00102910" w:rsidRDefault="00B21E39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1" w:type="pct"/>
                </w:tcPr>
                <w:p w:rsidR="00B21E39" w:rsidRPr="00102910" w:rsidRDefault="00B21E39" w:rsidP="00102910">
                  <w:pPr>
                    <w:spacing w:after="0" w:line="251" w:lineRule="atLeast"/>
                    <w:rPr>
                      <w:rFonts w:ascii="Verdana" w:eastAsia="Times New Roman" w:hAnsi="Verdana" w:cs="Times New Roman"/>
                      <w:noProof w:val="0"/>
                      <w:color w:val="303030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:rsidR="00102910" w:rsidRPr="00102910" w:rsidRDefault="00102910" w:rsidP="00102910">
            <w:pPr>
              <w:spacing w:after="0" w:line="251" w:lineRule="atLeast"/>
              <w:rPr>
                <w:rFonts w:ascii="Verdana" w:eastAsia="Times New Roman" w:hAnsi="Verdana" w:cs="Times New Roman"/>
                <w:noProof w:val="0"/>
                <w:color w:val="303030"/>
                <w:sz w:val="18"/>
                <w:szCs w:val="18"/>
                <w:lang w:val="en-US"/>
              </w:rPr>
            </w:pPr>
          </w:p>
        </w:tc>
      </w:tr>
    </w:tbl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B60890"/>
    <w:rsid w:val="00102910"/>
    <w:rsid w:val="0020266D"/>
    <w:rsid w:val="002932E0"/>
    <w:rsid w:val="00425560"/>
    <w:rsid w:val="004C110A"/>
    <w:rsid w:val="00535FEB"/>
    <w:rsid w:val="005A344B"/>
    <w:rsid w:val="00710F4E"/>
    <w:rsid w:val="00743B9E"/>
    <w:rsid w:val="007A3E49"/>
    <w:rsid w:val="00844759"/>
    <w:rsid w:val="00865733"/>
    <w:rsid w:val="00993DA7"/>
    <w:rsid w:val="00A60441"/>
    <w:rsid w:val="00AE4E40"/>
    <w:rsid w:val="00B21E39"/>
    <w:rsid w:val="00B60890"/>
    <w:rsid w:val="00C10CD3"/>
    <w:rsid w:val="00C33BF2"/>
    <w:rsid w:val="00D108CF"/>
    <w:rsid w:val="00D81746"/>
    <w:rsid w:val="00DF1336"/>
    <w:rsid w:val="00EB1761"/>
    <w:rsid w:val="00F2255F"/>
    <w:rsid w:val="00FB4FE4"/>
    <w:rsid w:val="00FC6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60890"/>
  </w:style>
  <w:style w:type="character" w:customStyle="1" w:styleId="tbblue">
    <w:name w:val="tb_blue"/>
    <w:basedOn w:val="DefaultParagraphFont"/>
    <w:rsid w:val="00B60890"/>
  </w:style>
  <w:style w:type="paragraph" w:styleId="BalloonText">
    <w:name w:val="Balloon Text"/>
    <w:basedOn w:val="Normal"/>
    <w:link w:val="BalloonTextChar"/>
    <w:uiPriority w:val="99"/>
    <w:semiHidden/>
    <w:unhideWhenUsed/>
    <w:rsid w:val="00B60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890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8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hyperlink" Target="javascript:;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4</cp:revision>
  <dcterms:created xsi:type="dcterms:W3CDTF">2013-03-13T13:13:00Z</dcterms:created>
  <dcterms:modified xsi:type="dcterms:W3CDTF">2016-03-09T23:39:00Z</dcterms:modified>
</cp:coreProperties>
</file>